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1D070" w14:textId="77777777" w:rsidR="00CD3BA9" w:rsidRDefault="00CD3BA9" w:rsidP="00CD3BA9">
      <w:pPr>
        <w:rPr>
          <w:rFonts w:ascii="黑体" w:eastAsia="黑体" w:hAnsi="华文仿宋"/>
          <w:sz w:val="32"/>
          <w:szCs w:val="32"/>
        </w:rPr>
      </w:pPr>
      <w:r w:rsidRPr="004A48F4">
        <w:rPr>
          <w:rFonts w:ascii="黑体" w:eastAsia="黑体" w:hAnsi="华文仿宋" w:hint="eastAsia"/>
          <w:sz w:val="32"/>
          <w:szCs w:val="32"/>
        </w:rPr>
        <w:t>附件</w:t>
      </w:r>
    </w:p>
    <w:p w14:paraId="0CC64DCE" w14:textId="77777777" w:rsidR="00CD3BA9" w:rsidRDefault="00CD3BA9" w:rsidP="00CD3BA9">
      <w:pPr>
        <w:spacing w:line="640" w:lineRule="exact"/>
        <w:jc w:val="center"/>
        <w:rPr>
          <w:rFonts w:ascii="黑体" w:eastAsia="黑体" w:hAnsi="华文仿宋"/>
          <w:sz w:val="32"/>
          <w:szCs w:val="32"/>
        </w:rPr>
      </w:pPr>
    </w:p>
    <w:p w14:paraId="2EA387A4" w14:textId="77777777" w:rsidR="00CD3BA9" w:rsidRDefault="00CD3BA9" w:rsidP="00CD3BA9">
      <w:pPr>
        <w:snapToGrid w:val="0"/>
        <w:spacing w:line="640" w:lineRule="exact"/>
        <w:jc w:val="center"/>
        <w:rPr>
          <w:rFonts w:ascii="方正小标宋简体" w:eastAsia="方正小标宋简体" w:hAnsi="仿宋"/>
          <w:color w:val="000000"/>
          <w:sz w:val="44"/>
          <w:szCs w:val="44"/>
        </w:rPr>
      </w:pPr>
      <w:r w:rsidRPr="00D83963">
        <w:rPr>
          <w:rFonts w:ascii="方正小标宋简体" w:eastAsia="方正小标宋简体" w:hAnsi="仿宋" w:cs="方正小标宋简体" w:hint="eastAsia"/>
          <w:color w:val="000000"/>
          <w:sz w:val="44"/>
          <w:szCs w:val="44"/>
        </w:rPr>
        <w:t>医疗器械</w:t>
      </w:r>
      <w:r>
        <w:rPr>
          <w:rFonts w:ascii="方正小标宋简体" w:eastAsia="方正小标宋简体" w:hAnsi="仿宋" w:cs="方正小标宋简体" w:hint="eastAsia"/>
          <w:color w:val="000000"/>
          <w:sz w:val="44"/>
          <w:szCs w:val="44"/>
        </w:rPr>
        <w:t>冷链（</w:t>
      </w:r>
      <w:r w:rsidRPr="005C0924">
        <w:rPr>
          <w:rFonts w:ascii="方正小标宋简体" w:eastAsia="方正小标宋简体" w:hAnsi="宋体" w:cs="方正小标宋简体" w:hint="eastAsia"/>
          <w:sz w:val="44"/>
          <w:szCs w:val="44"/>
        </w:rPr>
        <w:t>运输</w:t>
      </w:r>
      <w:r>
        <w:rPr>
          <w:rFonts w:ascii="方正小标宋简体" w:eastAsia="方正小标宋简体" w:hAnsi="宋体" w:cs="方正小标宋简体" w:hint="eastAsia"/>
          <w:sz w:val="44"/>
          <w:szCs w:val="44"/>
        </w:rPr>
        <w:t>、贮存）</w:t>
      </w:r>
      <w:r w:rsidRPr="00D83963">
        <w:rPr>
          <w:rFonts w:ascii="方正小标宋简体" w:eastAsia="方正小标宋简体" w:hAnsi="仿宋" w:cs="方正小标宋简体" w:hint="eastAsia"/>
          <w:color w:val="000000"/>
          <w:sz w:val="44"/>
          <w:szCs w:val="44"/>
        </w:rPr>
        <w:t>管理指南</w:t>
      </w:r>
    </w:p>
    <w:p w14:paraId="52977412" w14:textId="77777777" w:rsidR="00CD3BA9" w:rsidRDefault="00CD3BA9" w:rsidP="00CD3BA9">
      <w:pPr>
        <w:adjustRightInd w:val="0"/>
        <w:snapToGrid w:val="0"/>
        <w:spacing w:line="640" w:lineRule="exact"/>
        <w:ind w:firstLineChars="200" w:firstLine="640"/>
        <w:jc w:val="center"/>
        <w:rPr>
          <w:rFonts w:ascii="仿宋_GB2312" w:eastAsia="仿宋_GB2312" w:hAnsi="宋体" w:cs="仿宋_GB2312"/>
          <w:color w:val="000000"/>
          <w:sz w:val="32"/>
          <w:szCs w:val="32"/>
        </w:rPr>
      </w:pPr>
    </w:p>
    <w:p w14:paraId="174CBA0C"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第一条</w:t>
      </w:r>
      <w:r w:rsidRPr="00AC230B">
        <w:rPr>
          <w:rFonts w:eastAsia="仿宋_GB2312"/>
          <w:sz w:val="32"/>
          <w:szCs w:val="32"/>
        </w:rPr>
        <w:t>根据《医疗器械监督管理条例》等相关法律法规的要求，</w:t>
      </w:r>
      <w:r w:rsidRPr="00AC230B">
        <w:rPr>
          <w:rFonts w:eastAsia="仿宋_GB2312"/>
          <w:color w:val="000000"/>
          <w:sz w:val="32"/>
          <w:szCs w:val="32"/>
        </w:rPr>
        <w:t>为保证医疗器械生产经营企业和使用单位在运输与贮存过程中使产品符合其说明书和标签标示的特定温度要求，特制定本指南。</w:t>
      </w:r>
    </w:p>
    <w:p w14:paraId="758A1A39"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第二条</w:t>
      </w:r>
      <w:r w:rsidRPr="00AC230B">
        <w:rPr>
          <w:rFonts w:eastAsia="仿宋_GB2312"/>
          <w:color w:val="000000"/>
          <w:sz w:val="32"/>
          <w:szCs w:val="32"/>
        </w:rPr>
        <w:t>冷链管理医疗器械是指在运输与贮存过程中需要按照说明书和标签标示要求进行冷藏、冷冻管理的医疗器械。本指南适用于医疗器械生产经营企业和使用单位对医疗器械运输与贮存的质量管理。</w:t>
      </w:r>
    </w:p>
    <w:p w14:paraId="4E1D01EE"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第三条</w:t>
      </w:r>
      <w:r w:rsidRPr="00AC230B">
        <w:rPr>
          <w:rFonts w:eastAsia="仿宋_GB2312"/>
          <w:color w:val="000000"/>
          <w:sz w:val="32"/>
          <w:szCs w:val="32"/>
        </w:rPr>
        <w:t>从事冷链管理医疗器械的收货、验收、贮存、检查、出库、运输等工作的人员，应接受冷藏、冷冻相关法律法规、专业知识、工作制度和标准操作规程的培训，经考核合格后，方可上岗。</w:t>
      </w:r>
    </w:p>
    <w:p w14:paraId="49DFDFCD"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第四条</w:t>
      </w:r>
      <w:r w:rsidRPr="00AC230B">
        <w:rPr>
          <w:rFonts w:eastAsia="仿宋_GB2312"/>
          <w:color w:val="000000"/>
          <w:sz w:val="32"/>
          <w:szCs w:val="32"/>
        </w:rPr>
        <w:t>医疗器械生产企业和批发企业应根据生产、经营的品种和规模，配备相适应的冷库</w:t>
      </w:r>
      <w:r>
        <w:rPr>
          <w:rFonts w:eastAsia="仿宋_GB2312" w:hint="eastAsia"/>
          <w:color w:val="000000"/>
          <w:sz w:val="32"/>
          <w:szCs w:val="32"/>
        </w:rPr>
        <w:t>（</w:t>
      </w:r>
      <w:r w:rsidRPr="00AC230B">
        <w:rPr>
          <w:rFonts w:eastAsia="仿宋_GB2312"/>
          <w:color w:val="000000"/>
          <w:sz w:val="32"/>
          <w:szCs w:val="32"/>
        </w:rPr>
        <w:t>冷藏库或冷冻库</w:t>
      </w:r>
      <w:r>
        <w:rPr>
          <w:rFonts w:eastAsia="仿宋_GB2312" w:hint="eastAsia"/>
          <w:color w:val="000000"/>
          <w:sz w:val="32"/>
          <w:szCs w:val="32"/>
        </w:rPr>
        <w:t>）</w:t>
      </w:r>
      <w:r w:rsidRPr="00AC230B">
        <w:rPr>
          <w:rFonts w:eastAsia="仿宋_GB2312"/>
          <w:color w:val="000000"/>
          <w:sz w:val="32"/>
          <w:szCs w:val="32"/>
        </w:rPr>
        <w:t>及冷藏车或冷藏箱（保温箱）等设施设备。</w:t>
      </w:r>
    </w:p>
    <w:p w14:paraId="2C999B3C"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医疗器械零售企业和使用单位应根据经营、使用的品种和规模，配备相适应的冷库或冷藏设备（冷藏柜或冷藏箱等）。</w:t>
      </w:r>
    </w:p>
    <w:p w14:paraId="1BE50585"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第五条</w:t>
      </w:r>
      <w:r w:rsidRPr="00AC230B">
        <w:rPr>
          <w:rFonts w:eastAsia="仿宋_GB2312"/>
          <w:color w:val="000000"/>
          <w:sz w:val="32"/>
          <w:szCs w:val="32"/>
        </w:rPr>
        <w:t>用于贮存医疗器械的冷库应具有自动调控温度的功</w:t>
      </w:r>
      <w:r w:rsidRPr="00AC230B">
        <w:rPr>
          <w:rFonts w:eastAsia="仿宋_GB2312"/>
          <w:color w:val="000000"/>
          <w:sz w:val="32"/>
          <w:szCs w:val="32"/>
        </w:rPr>
        <w:lastRenderedPageBreak/>
        <w:t>能，机组的制冷能力应与冷库容积相适应。为保证制冷系统的连续供电，冷库应配备备用发电机组或双回路供电系统等。</w:t>
      </w:r>
    </w:p>
    <w:p w14:paraId="3C11860D"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lang w:val="en-GB"/>
        </w:rPr>
        <w:t>冷</w:t>
      </w:r>
      <w:r w:rsidRPr="00AC230B">
        <w:rPr>
          <w:rFonts w:eastAsia="仿宋_GB2312"/>
          <w:color w:val="000000"/>
          <w:sz w:val="32"/>
          <w:szCs w:val="32"/>
        </w:rPr>
        <w:t>库内应划分待验区、贮存区、退货区、包装材料预冷区（货位）等，并设有明显标示。</w:t>
      </w:r>
    </w:p>
    <w:p w14:paraId="0750662F"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第六条</w:t>
      </w:r>
      <w:r w:rsidRPr="00AC230B">
        <w:rPr>
          <w:rFonts w:eastAsia="仿宋_GB2312"/>
          <w:color w:val="000000"/>
          <w:sz w:val="32"/>
          <w:szCs w:val="32"/>
        </w:rPr>
        <w:t>用于医疗器械运输的冷藏车应具备自动调控温度功能，车厢应防水、密闭</w:t>
      </w:r>
      <w:r>
        <w:rPr>
          <w:rFonts w:eastAsia="仿宋_GB2312" w:hint="eastAsia"/>
          <w:color w:val="000000"/>
          <w:sz w:val="32"/>
          <w:szCs w:val="32"/>
        </w:rPr>
        <w:t>，</w:t>
      </w:r>
      <w:r w:rsidRPr="00AC230B">
        <w:rPr>
          <w:rFonts w:eastAsia="仿宋_GB2312"/>
          <w:color w:val="000000"/>
          <w:sz w:val="32"/>
          <w:szCs w:val="32"/>
        </w:rPr>
        <w:t>车厢内留有保证气流充分循环的空间。</w:t>
      </w:r>
    </w:p>
    <w:p w14:paraId="326CDB2A"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第七条</w:t>
      </w:r>
      <w:r w:rsidRPr="00AC230B">
        <w:rPr>
          <w:rFonts w:eastAsia="仿宋_GB2312"/>
          <w:color w:val="000000"/>
          <w:sz w:val="32"/>
          <w:szCs w:val="32"/>
        </w:rPr>
        <w:t>冷藏箱（柜）应能自动调节箱体内温度；保温箱应配备蓄冷（热）剂及隔温装置，并符合产品说明书和标签标示的储运要求。</w:t>
      </w:r>
    </w:p>
    <w:p w14:paraId="152095AE"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第八条</w:t>
      </w:r>
      <w:r w:rsidRPr="00AC230B">
        <w:rPr>
          <w:rFonts w:eastAsia="仿宋_GB2312"/>
          <w:color w:val="000000"/>
          <w:sz w:val="32"/>
          <w:szCs w:val="32"/>
        </w:rPr>
        <w:t>用于医疗器械贮存和运输的冷库、冷藏车应配备温度自动监测系统（以下</w:t>
      </w:r>
      <w:proofErr w:type="gramStart"/>
      <w:r w:rsidRPr="00AC230B">
        <w:rPr>
          <w:rFonts w:eastAsia="仿宋_GB2312"/>
          <w:color w:val="000000"/>
          <w:sz w:val="32"/>
          <w:szCs w:val="32"/>
        </w:rPr>
        <w:t>简称温测系统</w:t>
      </w:r>
      <w:proofErr w:type="gramEnd"/>
      <w:r w:rsidRPr="00AC230B">
        <w:rPr>
          <w:rFonts w:eastAsia="仿宋_GB2312"/>
          <w:color w:val="000000"/>
          <w:sz w:val="32"/>
          <w:szCs w:val="32"/>
        </w:rPr>
        <w:t>）监测温度。</w:t>
      </w:r>
      <w:proofErr w:type="gramStart"/>
      <w:r w:rsidRPr="00AC230B">
        <w:rPr>
          <w:rFonts w:eastAsia="仿宋_GB2312"/>
          <w:color w:val="000000"/>
          <w:sz w:val="32"/>
          <w:szCs w:val="32"/>
        </w:rPr>
        <w:t>温测系统</w:t>
      </w:r>
      <w:proofErr w:type="gramEnd"/>
      <w:r w:rsidRPr="00AC230B">
        <w:rPr>
          <w:rFonts w:eastAsia="仿宋_GB2312"/>
          <w:color w:val="000000"/>
          <w:sz w:val="32"/>
          <w:szCs w:val="32"/>
        </w:rPr>
        <w:t>应具备以下功能：</w:t>
      </w:r>
    </w:p>
    <w:p w14:paraId="1E1AE943"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（一）</w:t>
      </w:r>
      <w:proofErr w:type="gramStart"/>
      <w:r w:rsidRPr="00AC230B">
        <w:rPr>
          <w:rFonts w:eastAsia="仿宋_GB2312"/>
          <w:color w:val="000000"/>
          <w:sz w:val="32"/>
          <w:szCs w:val="32"/>
        </w:rPr>
        <w:t>温测系统</w:t>
      </w:r>
      <w:proofErr w:type="gramEnd"/>
      <w:r w:rsidRPr="00AC230B">
        <w:rPr>
          <w:rFonts w:eastAsia="仿宋_GB2312"/>
          <w:color w:val="000000"/>
          <w:sz w:val="32"/>
          <w:szCs w:val="32"/>
        </w:rPr>
        <w:t>的测量范围、精度、分辨率等技术参数能够满足管理需要，具有不间断监测、连续记录、数据存储、显示及报警功能。</w:t>
      </w:r>
    </w:p>
    <w:p w14:paraId="097379E6"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（二）冷库、冷藏车设备运行过程至少每隔</w:t>
      </w:r>
      <w:r w:rsidRPr="00AC230B">
        <w:rPr>
          <w:rFonts w:eastAsia="仿宋_GB2312"/>
          <w:color w:val="000000"/>
          <w:sz w:val="32"/>
          <w:szCs w:val="32"/>
        </w:rPr>
        <w:t>1</w:t>
      </w:r>
      <w:r w:rsidRPr="00AC230B">
        <w:rPr>
          <w:rFonts w:eastAsia="仿宋_GB2312"/>
          <w:color w:val="000000"/>
          <w:sz w:val="32"/>
          <w:szCs w:val="32"/>
        </w:rPr>
        <w:t>分钟更新一次测点温度数据，贮存过程至少每隔</w:t>
      </w:r>
      <w:r w:rsidRPr="00AC230B">
        <w:rPr>
          <w:rFonts w:eastAsia="仿宋_GB2312"/>
          <w:color w:val="000000"/>
          <w:sz w:val="32"/>
          <w:szCs w:val="32"/>
        </w:rPr>
        <w:t>30</w:t>
      </w:r>
      <w:r w:rsidRPr="00AC230B">
        <w:rPr>
          <w:rFonts w:eastAsia="仿宋_GB2312"/>
          <w:color w:val="000000"/>
          <w:sz w:val="32"/>
          <w:szCs w:val="32"/>
        </w:rPr>
        <w:t>分钟自动记录一次实时温度数据，运输过程至少每隔</w:t>
      </w:r>
      <w:r w:rsidRPr="00AC230B">
        <w:rPr>
          <w:rFonts w:eastAsia="仿宋_GB2312"/>
          <w:color w:val="000000"/>
          <w:sz w:val="32"/>
          <w:szCs w:val="32"/>
        </w:rPr>
        <w:t>5</w:t>
      </w:r>
      <w:r w:rsidRPr="00AC230B">
        <w:rPr>
          <w:rFonts w:eastAsia="仿宋_GB2312"/>
          <w:color w:val="000000"/>
          <w:sz w:val="32"/>
          <w:szCs w:val="32"/>
        </w:rPr>
        <w:t>分钟自动记录一次实时温度数据。</w:t>
      </w:r>
    </w:p>
    <w:p w14:paraId="2E1815C4"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（三）当监测温度达到设定的临界值或者超出规定范围时，</w:t>
      </w:r>
      <w:proofErr w:type="gramStart"/>
      <w:r w:rsidRPr="00AC230B">
        <w:rPr>
          <w:rFonts w:eastAsia="仿宋_GB2312"/>
          <w:color w:val="000000"/>
          <w:sz w:val="32"/>
          <w:szCs w:val="32"/>
        </w:rPr>
        <w:t>温测系统</w:t>
      </w:r>
      <w:proofErr w:type="gramEnd"/>
      <w:r w:rsidRPr="00AC230B">
        <w:rPr>
          <w:rFonts w:eastAsia="仿宋_GB2312"/>
          <w:color w:val="000000"/>
          <w:sz w:val="32"/>
          <w:szCs w:val="32"/>
        </w:rPr>
        <w:t>能够实现声光报警，同时实现短信等通讯方式向至少</w:t>
      </w:r>
      <w:r w:rsidRPr="00AC230B">
        <w:rPr>
          <w:rFonts w:eastAsia="仿宋_GB2312"/>
          <w:color w:val="000000"/>
          <w:sz w:val="32"/>
          <w:szCs w:val="32"/>
        </w:rPr>
        <w:t>2</w:t>
      </w:r>
      <w:r w:rsidRPr="00AC230B">
        <w:rPr>
          <w:rFonts w:eastAsia="仿宋_GB2312"/>
          <w:color w:val="000000"/>
          <w:sz w:val="32"/>
          <w:szCs w:val="32"/>
        </w:rPr>
        <w:t>名指定人员即时发出报警信息。</w:t>
      </w:r>
    </w:p>
    <w:p w14:paraId="6D07D64B"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每个（台）独立的冷库、冷藏车应根据验证结论设定、安装至少</w:t>
      </w:r>
      <w:r w:rsidRPr="00AC230B">
        <w:rPr>
          <w:rFonts w:eastAsia="仿宋_GB2312"/>
          <w:color w:val="000000"/>
          <w:sz w:val="32"/>
          <w:szCs w:val="32"/>
        </w:rPr>
        <w:t>2</w:t>
      </w:r>
      <w:r w:rsidRPr="00AC230B">
        <w:rPr>
          <w:rFonts w:eastAsia="仿宋_GB2312"/>
          <w:color w:val="000000"/>
          <w:sz w:val="32"/>
          <w:szCs w:val="32"/>
        </w:rPr>
        <w:t>个温度测点终端。温度测点终端</w:t>
      </w:r>
      <w:proofErr w:type="gramStart"/>
      <w:r w:rsidRPr="00AC230B">
        <w:rPr>
          <w:rFonts w:eastAsia="仿宋_GB2312"/>
          <w:color w:val="000000"/>
          <w:sz w:val="32"/>
          <w:szCs w:val="32"/>
        </w:rPr>
        <w:t>和温测设备</w:t>
      </w:r>
      <w:proofErr w:type="gramEnd"/>
      <w:r w:rsidRPr="00AC230B">
        <w:rPr>
          <w:rFonts w:eastAsia="仿宋_GB2312"/>
          <w:color w:val="000000"/>
          <w:sz w:val="32"/>
          <w:szCs w:val="32"/>
        </w:rPr>
        <w:t>每年应至少进</w:t>
      </w:r>
      <w:r w:rsidRPr="00AC230B">
        <w:rPr>
          <w:rFonts w:eastAsia="仿宋_GB2312"/>
          <w:color w:val="000000"/>
          <w:sz w:val="32"/>
          <w:szCs w:val="32"/>
        </w:rPr>
        <w:lastRenderedPageBreak/>
        <w:t>行一次校准或者检定。</w:t>
      </w:r>
    </w:p>
    <w:p w14:paraId="60B4F022"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冷藏箱、保温箱或其他冷藏设备应配备温度自动记录和存储的仪器设备。</w:t>
      </w:r>
    </w:p>
    <w:p w14:paraId="186D2FFB"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第九条</w:t>
      </w:r>
      <w:r w:rsidRPr="00AC230B">
        <w:rPr>
          <w:rFonts w:eastAsia="仿宋_GB2312"/>
          <w:color w:val="000000"/>
          <w:sz w:val="32"/>
          <w:szCs w:val="32"/>
        </w:rPr>
        <w:t>冷库、冷藏车、冷藏箱、保温箱以及</w:t>
      </w:r>
      <w:proofErr w:type="gramStart"/>
      <w:r w:rsidRPr="00AC230B">
        <w:rPr>
          <w:rFonts w:eastAsia="仿宋_GB2312"/>
          <w:color w:val="000000"/>
          <w:sz w:val="32"/>
          <w:szCs w:val="32"/>
        </w:rPr>
        <w:t>温测系统</w:t>
      </w:r>
      <w:proofErr w:type="gramEnd"/>
      <w:r w:rsidRPr="00AC230B">
        <w:rPr>
          <w:rFonts w:eastAsia="仿宋_GB2312"/>
          <w:color w:val="000000"/>
          <w:sz w:val="32"/>
          <w:szCs w:val="32"/>
        </w:rPr>
        <w:t>应进行使用前验证、定期验证及停用时间超过规定时限情况下的验证。未经验证的设施设备，不得应用于冷链管理医疗器械的运输和贮存过程。</w:t>
      </w:r>
    </w:p>
    <w:p w14:paraId="2FD66BAE"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（一）建立并形成验证管理文件，文件内容包括验证方案、标准、报告、评价、偏差处理和预防措施等。</w:t>
      </w:r>
    </w:p>
    <w:p w14:paraId="4FEDAE3A"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（二）根据验证对象确定合理的持续验证时间，以保证验证数据的充分、有效及连续。</w:t>
      </w:r>
    </w:p>
    <w:p w14:paraId="6C41D3DD"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（三）验证使用</w:t>
      </w:r>
      <w:proofErr w:type="gramStart"/>
      <w:r w:rsidRPr="00AC230B">
        <w:rPr>
          <w:rFonts w:eastAsia="仿宋_GB2312"/>
          <w:color w:val="000000"/>
          <w:sz w:val="32"/>
          <w:szCs w:val="32"/>
        </w:rPr>
        <w:t>的温测设备</w:t>
      </w:r>
      <w:proofErr w:type="gramEnd"/>
      <w:r w:rsidRPr="00AC230B">
        <w:rPr>
          <w:rFonts w:eastAsia="仿宋_GB2312"/>
          <w:color w:val="000000"/>
          <w:sz w:val="32"/>
          <w:szCs w:val="32"/>
        </w:rPr>
        <w:t>应当经过具有资质的计量机构校准或者检定，校准或者检定证书（复印件）应当作为验证报告的必要附件，验证数据应真实、完整、有效及可追溯。</w:t>
      </w:r>
    </w:p>
    <w:p w14:paraId="3469BB99"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（四）根据验证确定的参数及条件，正确、合理使用相关设施及设备。</w:t>
      </w:r>
    </w:p>
    <w:p w14:paraId="574EAF3A"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第十条</w:t>
      </w:r>
      <w:r w:rsidRPr="00AC230B">
        <w:rPr>
          <w:rFonts w:eastAsia="仿宋_GB2312"/>
          <w:color w:val="000000"/>
          <w:sz w:val="32"/>
          <w:szCs w:val="32"/>
        </w:rPr>
        <w:t>在进行冷链管理医疗器械收货时，应核实运输方式、到货及在途温度、启运时间和到货时间并做好记录；对销后退回的产品还应核实售出期间的温度记录。符合要求的，应及时移入冷库内待验区；不符合温度要求的应当拒收，并做相应记录。</w:t>
      </w:r>
    </w:p>
    <w:p w14:paraId="00A52B53"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第十一条</w:t>
      </w:r>
      <w:r w:rsidRPr="00AC230B">
        <w:rPr>
          <w:rFonts w:eastAsia="仿宋_GB2312"/>
          <w:color w:val="000000"/>
          <w:sz w:val="32"/>
          <w:szCs w:val="32"/>
        </w:rPr>
        <w:t>使用冷库贮存的冷链管理医疗器械，应当在冷库内进行验收。</w:t>
      </w:r>
    </w:p>
    <w:p w14:paraId="5B7BCE2A"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验收人员应当检查产品状态，并按《医疗器械经营质量管理</w:t>
      </w:r>
      <w:r w:rsidRPr="00AC230B">
        <w:rPr>
          <w:rFonts w:eastAsia="仿宋_GB2312"/>
          <w:color w:val="000000"/>
          <w:sz w:val="32"/>
          <w:szCs w:val="32"/>
        </w:rPr>
        <w:lastRenderedPageBreak/>
        <w:t>规范》第三十八条、第三十九条或《医疗器械使用质量监督管理办法》的要求做好记录。</w:t>
      </w:r>
    </w:p>
    <w:p w14:paraId="37A1183F"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第十二条</w:t>
      </w:r>
      <w:r w:rsidRPr="00AC230B">
        <w:rPr>
          <w:rFonts w:eastAsia="仿宋_GB2312"/>
          <w:color w:val="000000"/>
          <w:sz w:val="32"/>
          <w:szCs w:val="32"/>
        </w:rPr>
        <w:t>冷链管理医疗器械在库期间应按照产品说明书或标签标示的要求进行贮存和检查，应重点对贮存的冷链管理医疗器械的包装、标签、外观及温度状况等进行检查并记录。</w:t>
      </w:r>
    </w:p>
    <w:p w14:paraId="3A2BF8E9"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冷库内制冷机组出风口须避免遮挡，应根据冷库验证报告确定合理的贮存区域。</w:t>
      </w:r>
    </w:p>
    <w:p w14:paraId="43F8DC2F"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第十三条</w:t>
      </w:r>
      <w:r w:rsidRPr="00AC230B">
        <w:rPr>
          <w:rFonts w:eastAsia="仿宋_GB2312"/>
          <w:color w:val="000000"/>
          <w:sz w:val="32"/>
          <w:szCs w:val="32"/>
        </w:rPr>
        <w:t>冷链管理医疗器械出库时，应当由专人负责出库复核、装箱封箱、装车码放工作。</w:t>
      </w:r>
    </w:p>
    <w:p w14:paraId="3D23D33D"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使用冷藏箱、保温箱运输冷链管理医疗器械的，应当根据验证确定的参数及条件，制定包装标准操作规程，装箱、封</w:t>
      </w:r>
      <w:proofErr w:type="gramStart"/>
      <w:r w:rsidRPr="00AC230B">
        <w:rPr>
          <w:rFonts w:eastAsia="仿宋_GB2312"/>
          <w:color w:val="000000"/>
          <w:sz w:val="32"/>
          <w:szCs w:val="32"/>
        </w:rPr>
        <w:t>箱操作</w:t>
      </w:r>
      <w:proofErr w:type="gramEnd"/>
      <w:r w:rsidRPr="00AC230B">
        <w:rPr>
          <w:rFonts w:eastAsia="仿宋_GB2312"/>
          <w:color w:val="000000"/>
          <w:sz w:val="32"/>
          <w:szCs w:val="32"/>
        </w:rPr>
        <w:t>应符合以下要求：</w:t>
      </w:r>
    </w:p>
    <w:p w14:paraId="226B8EAC"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（一）装箱前应进行冷藏箱、保温箱预冷或预热。</w:t>
      </w:r>
    </w:p>
    <w:p w14:paraId="134D2937"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（二）在</w:t>
      </w:r>
      <w:r w:rsidRPr="00AC230B">
        <w:rPr>
          <w:rFonts w:eastAsia="仿宋_GB2312"/>
          <w:color w:val="000000"/>
          <w:spacing w:val="4"/>
          <w:sz w:val="32"/>
          <w:szCs w:val="32"/>
        </w:rPr>
        <w:t>保温箱内合理配备与温度控制及运输时限相适应的蓄冷剂</w:t>
      </w:r>
      <w:r w:rsidRPr="00AC230B">
        <w:rPr>
          <w:rFonts w:eastAsia="仿宋_GB2312"/>
          <w:color w:val="000000"/>
          <w:sz w:val="32"/>
          <w:szCs w:val="32"/>
        </w:rPr>
        <w:t>。</w:t>
      </w:r>
    </w:p>
    <w:p w14:paraId="1232D676"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（三）冷藏箱启动制冷功能</w:t>
      </w:r>
      <w:proofErr w:type="gramStart"/>
      <w:r w:rsidRPr="00AC230B">
        <w:rPr>
          <w:rFonts w:eastAsia="仿宋_GB2312"/>
          <w:color w:val="000000"/>
          <w:sz w:val="32"/>
          <w:szCs w:val="32"/>
        </w:rPr>
        <w:t>和温测设备</w:t>
      </w:r>
      <w:proofErr w:type="gramEnd"/>
      <w:r w:rsidRPr="00AC230B">
        <w:rPr>
          <w:rFonts w:eastAsia="仿宋_GB2312"/>
          <w:color w:val="000000"/>
          <w:sz w:val="32"/>
          <w:szCs w:val="32"/>
        </w:rPr>
        <w:t>（保温箱</w:t>
      </w:r>
      <w:proofErr w:type="gramStart"/>
      <w:r w:rsidRPr="00AC230B">
        <w:rPr>
          <w:rFonts w:eastAsia="仿宋_GB2312"/>
          <w:color w:val="000000"/>
          <w:sz w:val="32"/>
          <w:szCs w:val="32"/>
        </w:rPr>
        <w:t>启动温测设备</w:t>
      </w:r>
      <w:proofErr w:type="gramEnd"/>
      <w:r w:rsidRPr="00AC230B">
        <w:rPr>
          <w:rFonts w:eastAsia="仿宋_GB2312"/>
          <w:color w:val="000000"/>
          <w:sz w:val="32"/>
          <w:szCs w:val="32"/>
        </w:rPr>
        <w:t>），检查设备运行正常，并达到规定的温度后，将产品装箱。</w:t>
      </w:r>
    </w:p>
    <w:p w14:paraId="435A182D"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（四）根据对蓄冷剂和产品的温度控制验证结论，必要时装箱应使用隔温装置将</w:t>
      </w:r>
      <w:proofErr w:type="gramStart"/>
      <w:r w:rsidRPr="00AC230B">
        <w:rPr>
          <w:rFonts w:eastAsia="仿宋_GB2312"/>
          <w:color w:val="000000"/>
          <w:sz w:val="32"/>
          <w:szCs w:val="32"/>
        </w:rPr>
        <w:t>产品与蓄冷</w:t>
      </w:r>
      <w:proofErr w:type="gramEnd"/>
      <w:r w:rsidRPr="00AC230B">
        <w:rPr>
          <w:rFonts w:eastAsia="仿宋_GB2312"/>
          <w:color w:val="000000"/>
          <w:sz w:val="32"/>
          <w:szCs w:val="32"/>
        </w:rPr>
        <w:t>剂等冷媒进行隔离。</w:t>
      </w:r>
    </w:p>
    <w:p w14:paraId="725E4FBC"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（五）冷链管理医疗器械的包装、装箱、封箱工作应在符合产品说明书和标签标示温度范围内的环境下完成。</w:t>
      </w:r>
    </w:p>
    <w:p w14:paraId="2725D3E3"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第十四条</w:t>
      </w:r>
      <w:r w:rsidRPr="00AC230B">
        <w:rPr>
          <w:rFonts w:eastAsia="仿宋_GB2312"/>
          <w:color w:val="000000"/>
          <w:sz w:val="32"/>
          <w:szCs w:val="32"/>
        </w:rPr>
        <w:t>运输冷链管理医疗器械的，应根据运输的产品数量、距离、时间以及温度要求、外部环境温度等情况，选择合理的运</w:t>
      </w:r>
      <w:r w:rsidRPr="00AC230B">
        <w:rPr>
          <w:rFonts w:eastAsia="仿宋_GB2312"/>
          <w:color w:val="000000"/>
          <w:sz w:val="32"/>
          <w:szCs w:val="32"/>
        </w:rPr>
        <w:lastRenderedPageBreak/>
        <w:t>输工具和温控方式，确保运输过程中温度控制符合要求。</w:t>
      </w:r>
    </w:p>
    <w:p w14:paraId="713E7737"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第十五条</w:t>
      </w:r>
      <w:r w:rsidRPr="00AC230B">
        <w:rPr>
          <w:rFonts w:eastAsia="仿宋_GB2312"/>
          <w:color w:val="000000"/>
          <w:sz w:val="32"/>
          <w:szCs w:val="32"/>
        </w:rPr>
        <w:t>使用冷藏车运输冷链管理医疗器械的，应符合以下要求：</w:t>
      </w:r>
    </w:p>
    <w:p w14:paraId="04706B53" w14:textId="77777777" w:rsidR="00CD3BA9" w:rsidRPr="00AC230B" w:rsidRDefault="00CD3BA9" w:rsidP="00CD3BA9">
      <w:pPr>
        <w:adjustRightInd w:val="0"/>
        <w:snapToGrid w:val="0"/>
        <w:spacing w:line="580" w:lineRule="exact"/>
        <w:ind w:firstLineChars="200" w:firstLine="640"/>
        <w:rPr>
          <w:rFonts w:eastAsia="仿宋_GB2312"/>
          <w:color w:val="000000"/>
          <w:spacing w:val="4"/>
          <w:sz w:val="32"/>
          <w:szCs w:val="32"/>
        </w:rPr>
      </w:pPr>
      <w:r w:rsidRPr="00AC230B">
        <w:rPr>
          <w:rFonts w:eastAsia="仿宋_GB2312"/>
          <w:color w:val="000000"/>
          <w:sz w:val="32"/>
          <w:szCs w:val="32"/>
        </w:rPr>
        <w:t>（一）提</w:t>
      </w:r>
      <w:r w:rsidRPr="00AC230B">
        <w:rPr>
          <w:rFonts w:eastAsia="仿宋_GB2312"/>
          <w:color w:val="000000"/>
          <w:spacing w:val="4"/>
          <w:sz w:val="32"/>
          <w:szCs w:val="32"/>
        </w:rPr>
        <w:t>前启动制冷功能</w:t>
      </w:r>
      <w:proofErr w:type="gramStart"/>
      <w:r w:rsidRPr="00AC230B">
        <w:rPr>
          <w:rFonts w:eastAsia="仿宋_GB2312"/>
          <w:color w:val="000000"/>
          <w:spacing w:val="4"/>
          <w:sz w:val="32"/>
          <w:szCs w:val="32"/>
        </w:rPr>
        <w:t>和温测设备</w:t>
      </w:r>
      <w:proofErr w:type="gramEnd"/>
      <w:r w:rsidRPr="00AC230B">
        <w:rPr>
          <w:rFonts w:eastAsia="仿宋_GB2312"/>
          <w:color w:val="000000"/>
          <w:spacing w:val="4"/>
          <w:sz w:val="32"/>
          <w:szCs w:val="32"/>
        </w:rPr>
        <w:t>，将车厢内预冷至规定的温度。</w:t>
      </w:r>
    </w:p>
    <w:p w14:paraId="67D209D2"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（二）根据验证报告确定冷藏车厢内产品的码放方式及区域，码放高度不得超过制冷机组出风口下沿，确保气流正常循环和温度均匀分布。</w:t>
      </w:r>
    </w:p>
    <w:p w14:paraId="7FCF9FBE"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（三）冷链管理医疗器械装车完毕，及时关闭车厢门，检查厢门密闭情况。</w:t>
      </w:r>
    </w:p>
    <w:p w14:paraId="5B302FC9"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（四）检查温控设备</w:t>
      </w:r>
      <w:proofErr w:type="gramStart"/>
      <w:r w:rsidRPr="00AC230B">
        <w:rPr>
          <w:rFonts w:eastAsia="仿宋_GB2312"/>
          <w:color w:val="000000"/>
          <w:sz w:val="32"/>
          <w:szCs w:val="32"/>
        </w:rPr>
        <w:t>和温测设备</w:t>
      </w:r>
      <w:proofErr w:type="gramEnd"/>
      <w:r w:rsidRPr="00AC230B">
        <w:rPr>
          <w:rFonts w:eastAsia="仿宋_GB2312"/>
          <w:color w:val="000000"/>
          <w:sz w:val="32"/>
          <w:szCs w:val="32"/>
        </w:rPr>
        <w:t>运行状况，运行正常方可启运。</w:t>
      </w:r>
    </w:p>
    <w:p w14:paraId="62A62449"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（五）冷链管理医疗器械在装卸过程中，应采取措施确保温度符合产品说明书和标签标示的要求。</w:t>
      </w:r>
    </w:p>
    <w:p w14:paraId="1ACADE70"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第十六条</w:t>
      </w:r>
      <w:r w:rsidRPr="00AC230B">
        <w:rPr>
          <w:rFonts w:eastAsia="仿宋_GB2312"/>
          <w:color w:val="000000"/>
          <w:sz w:val="32"/>
          <w:szCs w:val="32"/>
        </w:rPr>
        <w:t>冷链管理医疗器械发货时，应检查并记录冷藏车、冷藏箱、保温箱的温度。到货后，应向收货单位提供运输期间的全程温度记录。</w:t>
      </w:r>
    </w:p>
    <w:p w14:paraId="73C420F6"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第十七条</w:t>
      </w:r>
      <w:r w:rsidRPr="00AC230B">
        <w:rPr>
          <w:rFonts w:eastAsia="仿宋_GB2312"/>
          <w:color w:val="000000"/>
          <w:sz w:val="32"/>
          <w:szCs w:val="32"/>
        </w:rPr>
        <w:t>委托其他单位运输冷链管理医疗器械的，应当对承运方的资质及能力进行审核，签订委托运输协议，至少符合以下要求：</w:t>
      </w:r>
    </w:p>
    <w:p w14:paraId="46317900"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（一）索要承运方的运输资质文件、运输设施设备和运输管理监测系统验证文件、承运人员资质证明、运输过程温度控制及监测系统验证文件等相关资料。</w:t>
      </w:r>
    </w:p>
    <w:p w14:paraId="72FBC3BF"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lastRenderedPageBreak/>
        <w:t>（二）对承运方的运输设施设备、人员资质、质量保障能力、安全运输能力、风险控制能力等进行委托前和定期审核，审核报告存档备查。</w:t>
      </w:r>
    </w:p>
    <w:p w14:paraId="3F9172EB"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（三）委托运输协议内容应包括：承运</w:t>
      </w:r>
      <w:proofErr w:type="gramStart"/>
      <w:r w:rsidRPr="00AC230B">
        <w:rPr>
          <w:rFonts w:eastAsia="仿宋_GB2312"/>
          <w:color w:val="000000"/>
          <w:sz w:val="32"/>
          <w:szCs w:val="32"/>
        </w:rPr>
        <w:t>方制定</w:t>
      </w:r>
      <w:proofErr w:type="gramEnd"/>
      <w:r w:rsidRPr="00AC230B">
        <w:rPr>
          <w:rFonts w:eastAsia="仿宋_GB2312"/>
          <w:color w:val="000000"/>
          <w:sz w:val="32"/>
          <w:szCs w:val="32"/>
        </w:rPr>
        <w:t>的运输标准操作规程、运输过程中温度控制和实时监测的要求、在途时限的要求以及运输过程中的质量安全责任。</w:t>
      </w:r>
    </w:p>
    <w:p w14:paraId="49F27704"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eastAsia="仿宋_GB2312"/>
          <w:color w:val="000000"/>
          <w:sz w:val="32"/>
          <w:szCs w:val="32"/>
        </w:rPr>
        <w:t>（四）必要时根据承运方的资质和条件，委托方可对承运方的相关人员及运输设施设备进行审查和考核。</w:t>
      </w:r>
    </w:p>
    <w:p w14:paraId="75CC9F87"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第十八条</w:t>
      </w:r>
      <w:r w:rsidRPr="00AC230B">
        <w:rPr>
          <w:rFonts w:eastAsia="仿宋_GB2312"/>
          <w:color w:val="000000"/>
          <w:sz w:val="32"/>
          <w:szCs w:val="32"/>
        </w:rPr>
        <w:t>委托其他单位贮存冷链管理医疗器械的，受托企业应符合《医疗器械经营质量管理规范》第三十一条的要求。</w:t>
      </w:r>
    </w:p>
    <w:p w14:paraId="4610FE65" w14:textId="77777777" w:rsidR="00CD3BA9" w:rsidRPr="00AC230B" w:rsidRDefault="00CD3BA9" w:rsidP="00CD3BA9">
      <w:pPr>
        <w:adjustRightInd w:val="0"/>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第十九条</w:t>
      </w:r>
      <w:r w:rsidRPr="00AC230B">
        <w:rPr>
          <w:rFonts w:eastAsia="仿宋_GB2312"/>
          <w:color w:val="000000"/>
          <w:sz w:val="32"/>
          <w:szCs w:val="32"/>
        </w:rPr>
        <w:t>生产经营企业和使用单位应当制定冷链管理医疗器械在贮存、运输过程中温度控制的应急预案，并对应急预案进行验证。对贮存、运输过程中出现的断电、异常气候、设备故障、交通事故等意外或紧急情况，能够及时采取有效的应对措施，防止因异常突发情况造成的温度失控。</w:t>
      </w:r>
    </w:p>
    <w:p w14:paraId="14FC4861" w14:textId="77777777" w:rsidR="00CD3BA9" w:rsidRPr="00AC230B" w:rsidRDefault="00CD3BA9" w:rsidP="00CD3BA9">
      <w:pPr>
        <w:snapToGrid w:val="0"/>
        <w:spacing w:line="580" w:lineRule="exact"/>
        <w:ind w:firstLineChars="200" w:firstLine="640"/>
        <w:rPr>
          <w:rFonts w:eastAsia="仿宋_GB2312"/>
          <w:color w:val="000000"/>
          <w:sz w:val="32"/>
          <w:szCs w:val="32"/>
        </w:rPr>
      </w:pPr>
      <w:r w:rsidRPr="00AC230B">
        <w:rPr>
          <w:rFonts w:ascii="黑体" w:eastAsia="黑体" w:hAnsi="黑体"/>
          <w:color w:val="000000"/>
          <w:sz w:val="32"/>
          <w:szCs w:val="32"/>
        </w:rPr>
        <w:t>第二十条</w:t>
      </w:r>
      <w:r w:rsidRPr="00AC230B">
        <w:rPr>
          <w:rFonts w:eastAsia="仿宋_GB2312"/>
          <w:color w:val="000000"/>
          <w:sz w:val="32"/>
          <w:szCs w:val="32"/>
        </w:rPr>
        <w:t>本指南由国家食品药品监督管理总局负责解释。</w:t>
      </w:r>
    </w:p>
    <w:p w14:paraId="2D7162FE" w14:textId="77777777" w:rsidR="00AD0B35" w:rsidRPr="00E13F18" w:rsidRDefault="00CD3BA9" w:rsidP="00E13F18">
      <w:pPr>
        <w:adjustRightInd w:val="0"/>
        <w:snapToGrid w:val="0"/>
        <w:spacing w:line="580" w:lineRule="exact"/>
        <w:ind w:firstLineChars="200" w:firstLine="640"/>
        <w:rPr>
          <w:rFonts w:eastAsia="仿宋_GB2312"/>
          <w:sz w:val="32"/>
          <w:szCs w:val="32"/>
        </w:rPr>
      </w:pPr>
      <w:r w:rsidRPr="00AC230B">
        <w:rPr>
          <w:rFonts w:ascii="黑体" w:eastAsia="黑体" w:hAnsi="黑体"/>
          <w:color w:val="000000"/>
          <w:sz w:val="32"/>
          <w:szCs w:val="32"/>
        </w:rPr>
        <w:t>第二十一条</w:t>
      </w:r>
      <w:r w:rsidRPr="00AC230B">
        <w:rPr>
          <w:rFonts w:eastAsia="仿宋_GB2312"/>
          <w:color w:val="000000"/>
          <w:sz w:val="32"/>
          <w:szCs w:val="32"/>
        </w:rPr>
        <w:t>本指南自发布之日起执行。</w:t>
      </w:r>
    </w:p>
    <w:sectPr w:rsidR="00AD0B35" w:rsidRPr="00E13F18" w:rsidSect="00AC230B">
      <w:footerReference w:type="even" r:id="rId6"/>
      <w:footerReference w:type="default" r:id="rId7"/>
      <w:pgSz w:w="11906" w:h="16838"/>
      <w:pgMar w:top="1758" w:right="1531" w:bottom="158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8C6C3" w14:textId="77777777" w:rsidR="0098273B" w:rsidRDefault="0098273B" w:rsidP="00CD3BA9">
      <w:r>
        <w:separator/>
      </w:r>
    </w:p>
  </w:endnote>
  <w:endnote w:type="continuationSeparator" w:id="0">
    <w:p w14:paraId="21EA6670" w14:textId="77777777" w:rsidR="0098273B" w:rsidRDefault="0098273B" w:rsidP="00CD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4B69" w14:textId="77777777" w:rsidR="00EB13C2" w:rsidRPr="00AC230B" w:rsidRDefault="006B2048">
    <w:pPr>
      <w:pStyle w:val="a4"/>
      <w:rPr>
        <w:sz w:val="28"/>
        <w:szCs w:val="28"/>
      </w:rPr>
    </w:pPr>
    <w:r w:rsidRPr="00AC230B">
      <w:rPr>
        <w:rFonts w:hint="eastAsia"/>
        <w:color w:val="FFFFFF"/>
        <w:sz w:val="28"/>
        <w:szCs w:val="28"/>
      </w:rPr>
      <w:t>—</w:t>
    </w:r>
    <w:r w:rsidRPr="00AC230B">
      <w:rPr>
        <w:rFonts w:hint="eastAsia"/>
        <w:sz w:val="28"/>
        <w:szCs w:val="28"/>
      </w:rPr>
      <w:t>—</w:t>
    </w:r>
    <w:r w:rsidR="00BB4AC5" w:rsidRPr="00AC230B">
      <w:rPr>
        <w:sz w:val="28"/>
        <w:szCs w:val="28"/>
      </w:rPr>
      <w:fldChar w:fldCharType="begin"/>
    </w:r>
    <w:r w:rsidRPr="00AC230B">
      <w:rPr>
        <w:sz w:val="28"/>
        <w:szCs w:val="28"/>
      </w:rPr>
      <w:instrText>PAGE   \* MERGEFORMAT</w:instrText>
    </w:r>
    <w:r w:rsidR="00BB4AC5" w:rsidRPr="00AC230B">
      <w:rPr>
        <w:sz w:val="28"/>
        <w:szCs w:val="28"/>
      </w:rPr>
      <w:fldChar w:fldCharType="separate"/>
    </w:r>
    <w:r w:rsidRPr="005D1FA8">
      <w:rPr>
        <w:noProof/>
        <w:sz w:val="28"/>
        <w:szCs w:val="28"/>
        <w:lang w:val="zh-CN"/>
      </w:rPr>
      <w:t>2</w:t>
    </w:r>
    <w:r w:rsidR="00BB4AC5" w:rsidRPr="00AC230B">
      <w:rPr>
        <w:sz w:val="28"/>
        <w:szCs w:val="28"/>
      </w:rPr>
      <w:fldChar w:fldCharType="end"/>
    </w:r>
    <w:r w:rsidRPr="00AC230B">
      <w:rPr>
        <w:rFonts w:hint="eastAsia"/>
        <w:sz w:val="28"/>
        <w:szCs w:val="28"/>
      </w:rPr>
      <w:t>—</w:t>
    </w:r>
  </w:p>
  <w:p w14:paraId="50E9A999" w14:textId="77777777" w:rsidR="009A1829" w:rsidRDefault="0098273B" w:rsidP="009A1829">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5409" w14:textId="77777777" w:rsidR="00EB13C2" w:rsidRPr="00AC230B" w:rsidRDefault="006B2048" w:rsidP="00AC230B">
    <w:pPr>
      <w:pStyle w:val="a4"/>
      <w:wordWrap w:val="0"/>
      <w:jc w:val="right"/>
      <w:rPr>
        <w:color w:val="FFFFFF"/>
        <w:sz w:val="28"/>
        <w:szCs w:val="28"/>
      </w:rPr>
    </w:pPr>
    <w:r w:rsidRPr="00AC230B">
      <w:rPr>
        <w:rFonts w:hint="eastAsia"/>
        <w:sz w:val="28"/>
        <w:szCs w:val="28"/>
      </w:rPr>
      <w:t>—</w:t>
    </w:r>
    <w:r w:rsidR="00BB4AC5" w:rsidRPr="00AC230B">
      <w:rPr>
        <w:sz w:val="28"/>
        <w:szCs w:val="28"/>
      </w:rPr>
      <w:fldChar w:fldCharType="begin"/>
    </w:r>
    <w:r w:rsidRPr="00AC230B">
      <w:rPr>
        <w:sz w:val="28"/>
        <w:szCs w:val="28"/>
      </w:rPr>
      <w:instrText>PAGE   \* MERGEFORMAT</w:instrText>
    </w:r>
    <w:r w:rsidR="00BB4AC5" w:rsidRPr="00AC230B">
      <w:rPr>
        <w:sz w:val="28"/>
        <w:szCs w:val="28"/>
      </w:rPr>
      <w:fldChar w:fldCharType="separate"/>
    </w:r>
    <w:r w:rsidR="00E13F18" w:rsidRPr="00E13F18">
      <w:rPr>
        <w:noProof/>
        <w:sz w:val="28"/>
        <w:szCs w:val="28"/>
        <w:lang w:val="zh-CN"/>
      </w:rPr>
      <w:t>6</w:t>
    </w:r>
    <w:r w:rsidR="00BB4AC5" w:rsidRPr="00AC230B">
      <w:rPr>
        <w:sz w:val="28"/>
        <w:szCs w:val="28"/>
      </w:rPr>
      <w:fldChar w:fldCharType="end"/>
    </w:r>
    <w:r w:rsidRPr="00AC230B">
      <w:rPr>
        <w:rFonts w:hint="eastAsia"/>
        <w:sz w:val="28"/>
        <w:szCs w:val="28"/>
      </w:rPr>
      <w:t>—</w:t>
    </w:r>
    <w:r w:rsidRPr="00AC230B">
      <w:rPr>
        <w:rFonts w:hint="eastAsia"/>
        <w:color w:val="FFFFFF"/>
        <w:sz w:val="28"/>
        <w:szCs w:val="28"/>
      </w:rPr>
      <w:t>—</w:t>
    </w:r>
  </w:p>
  <w:p w14:paraId="7F3DDF1E" w14:textId="77777777" w:rsidR="009A1829" w:rsidRDefault="0098273B" w:rsidP="009A1829">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78BC2" w14:textId="77777777" w:rsidR="0098273B" w:rsidRDefault="0098273B" w:rsidP="00CD3BA9">
      <w:r>
        <w:separator/>
      </w:r>
    </w:p>
  </w:footnote>
  <w:footnote w:type="continuationSeparator" w:id="0">
    <w:p w14:paraId="35CF8A6A" w14:textId="77777777" w:rsidR="0098273B" w:rsidRDefault="0098273B" w:rsidP="00CD3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AB"/>
    <w:rsid w:val="00377D40"/>
    <w:rsid w:val="006B2048"/>
    <w:rsid w:val="0098273B"/>
    <w:rsid w:val="00AD0B35"/>
    <w:rsid w:val="00B90352"/>
    <w:rsid w:val="00BB4AC5"/>
    <w:rsid w:val="00C833AB"/>
    <w:rsid w:val="00CD3BA9"/>
    <w:rsid w:val="00E13F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44FC0"/>
  <w15:docId w15:val="{B922E38F-B9F7-4EEE-8403-6CCA2548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B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3B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D3BA9"/>
    <w:rPr>
      <w:sz w:val="18"/>
      <w:szCs w:val="18"/>
    </w:rPr>
  </w:style>
  <w:style w:type="paragraph" w:styleId="a4">
    <w:name w:val="footer"/>
    <w:basedOn w:val="a"/>
    <w:link w:val="Char0"/>
    <w:uiPriority w:val="99"/>
    <w:unhideWhenUsed/>
    <w:rsid w:val="00CD3B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D3BA9"/>
    <w:rPr>
      <w:sz w:val="18"/>
      <w:szCs w:val="18"/>
    </w:rPr>
  </w:style>
  <w:style w:type="paragraph" w:styleId="a5">
    <w:name w:val="Balloon Text"/>
    <w:basedOn w:val="a"/>
    <w:link w:val="Char1"/>
    <w:uiPriority w:val="99"/>
    <w:semiHidden/>
    <w:unhideWhenUsed/>
    <w:rsid w:val="00CD3BA9"/>
    <w:rPr>
      <w:sz w:val="18"/>
      <w:szCs w:val="18"/>
    </w:rPr>
  </w:style>
  <w:style w:type="character" w:customStyle="1" w:styleId="Char1">
    <w:name w:val="批注框文本 Char"/>
    <w:basedOn w:val="a0"/>
    <w:link w:val="a5"/>
    <w:uiPriority w:val="99"/>
    <w:semiHidden/>
    <w:rsid w:val="00CD3BA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422</Words>
  <Characters>2406</Characters>
  <Application>Microsoft Office Word</Application>
  <DocSecurity>0</DocSecurity>
  <Lines>20</Lines>
  <Paragraphs>5</Paragraphs>
  <ScaleCrop>false</ScaleCrop>
  <Company>CFDA</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杜婧举</dc:creator>
  <cp:lastModifiedBy>USER</cp:lastModifiedBy>
  <cp:revision>2</cp:revision>
  <dcterms:created xsi:type="dcterms:W3CDTF">2022-12-03T10:23:00Z</dcterms:created>
  <dcterms:modified xsi:type="dcterms:W3CDTF">2022-12-03T10:23:00Z</dcterms:modified>
</cp:coreProperties>
</file>